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86" w:rsidRPr="002B0F86" w:rsidRDefault="002B0F86" w:rsidP="000616B2">
      <w:pPr>
        <w:pStyle w:val="Naslov1"/>
        <w:rPr>
          <w:rFonts w:ascii="Arial" w:hAnsi="Arial" w:cs="Arial"/>
          <w:sz w:val="18"/>
          <w:szCs w:val="18"/>
        </w:rPr>
      </w:pPr>
    </w:p>
    <w:p w:rsidR="002B0F86" w:rsidRPr="002B0F86" w:rsidRDefault="002B0F86" w:rsidP="000616B2">
      <w:pPr>
        <w:pStyle w:val="Naslov1"/>
        <w:rPr>
          <w:rFonts w:ascii="Arial" w:hAnsi="Arial" w:cs="Arial"/>
          <w:sz w:val="18"/>
          <w:szCs w:val="18"/>
        </w:rPr>
      </w:pPr>
    </w:p>
    <w:p w:rsidR="000616B2" w:rsidRPr="002B0F86" w:rsidRDefault="00B564A0" w:rsidP="000616B2">
      <w:pPr>
        <w:pStyle w:val="Naslov1"/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>VLOGA ZA PRIDOBITEV</w:t>
      </w:r>
    </w:p>
    <w:p w:rsidR="000616B2" w:rsidRPr="002B0F86" w:rsidRDefault="00B564A0" w:rsidP="000616B2">
      <w:pPr>
        <w:pStyle w:val="Naslov1"/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 xml:space="preserve">SOGLASJA OBČINE ZA MANJŠI POSEG GLEDE </w:t>
      </w:r>
    </w:p>
    <w:p w:rsidR="000616B2" w:rsidRPr="002B0F86" w:rsidRDefault="00B564A0" w:rsidP="000616B2">
      <w:pPr>
        <w:pStyle w:val="Naslov1"/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>SKLADNOSTI S PROST</w:t>
      </w:r>
      <w:r>
        <w:rPr>
          <w:rFonts w:ascii="Arial" w:hAnsi="Arial" w:cs="Arial"/>
          <w:sz w:val="18"/>
          <w:szCs w:val="18"/>
        </w:rPr>
        <w:t>O</w:t>
      </w:r>
      <w:r w:rsidRPr="002B0F86">
        <w:rPr>
          <w:rFonts w:ascii="Arial" w:hAnsi="Arial" w:cs="Arial"/>
          <w:sz w:val="18"/>
          <w:szCs w:val="18"/>
        </w:rPr>
        <w:t>RSKIM AKTOM</w:t>
      </w:r>
    </w:p>
    <w:p w:rsidR="000616B2" w:rsidRPr="002B0F86" w:rsidRDefault="00B564A0" w:rsidP="000616B2">
      <w:pPr>
        <w:pStyle w:val="Naslov1"/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 xml:space="preserve"> (IZVEDBA MANJŠE REKONSTRUKCIJE)</w:t>
      </w:r>
      <w:bookmarkStart w:id="0" w:name="_GoBack"/>
      <w:bookmarkEnd w:id="0"/>
    </w:p>
    <w:p w:rsidR="000616B2" w:rsidRPr="002B0F86" w:rsidRDefault="000616B2" w:rsidP="000616B2">
      <w:pPr>
        <w:ind w:left="708" w:firstLine="708"/>
        <w:rPr>
          <w:rFonts w:ascii="Arial" w:hAnsi="Arial" w:cs="Arial"/>
          <w:b/>
          <w:i/>
          <w:sz w:val="18"/>
          <w:szCs w:val="18"/>
        </w:rPr>
      </w:pPr>
    </w:p>
    <w:p w:rsidR="000616B2" w:rsidRPr="002B0F86" w:rsidRDefault="000616B2" w:rsidP="000616B2">
      <w:pPr>
        <w:ind w:left="708" w:firstLine="708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5877"/>
      </w:tblGrid>
      <w:tr w:rsidR="000616B2" w:rsidRPr="002B0F86" w:rsidTr="002B0F86"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0F86">
              <w:rPr>
                <w:rFonts w:ascii="Arial" w:hAnsi="Arial" w:cs="Arial"/>
                <w:i/>
                <w:sz w:val="18"/>
                <w:szCs w:val="18"/>
              </w:rPr>
              <w:t>Ime in priimek vlagatelja:</w:t>
            </w:r>
          </w:p>
        </w:tc>
        <w:tc>
          <w:tcPr>
            <w:tcW w:w="5877" w:type="dxa"/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5882"/>
      </w:tblGrid>
      <w:tr w:rsidR="000616B2" w:rsidRPr="002B0F86" w:rsidTr="004D0C25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0F86">
              <w:rPr>
                <w:rFonts w:ascii="Arial" w:hAnsi="Arial" w:cs="Arial"/>
                <w:i/>
                <w:sz w:val="18"/>
                <w:szCs w:val="18"/>
              </w:rPr>
              <w:t>Naslov / sedež / pošta:</w:t>
            </w:r>
          </w:p>
        </w:tc>
        <w:tc>
          <w:tcPr>
            <w:tcW w:w="5985" w:type="dxa"/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881"/>
      </w:tblGrid>
      <w:tr w:rsidR="000616B2" w:rsidRPr="002B0F86" w:rsidTr="004D0C25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0F86">
              <w:rPr>
                <w:rFonts w:ascii="Arial" w:hAnsi="Arial" w:cs="Arial"/>
                <w:i/>
                <w:sz w:val="18"/>
                <w:szCs w:val="18"/>
              </w:rPr>
              <w:t>Kontakt / telefon / e-mail</w:t>
            </w:r>
          </w:p>
        </w:tc>
        <w:tc>
          <w:tcPr>
            <w:tcW w:w="5985" w:type="dxa"/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6B2" w:rsidRPr="002B0F86" w:rsidRDefault="000616B2" w:rsidP="000616B2">
      <w:pPr>
        <w:rPr>
          <w:rFonts w:ascii="Arial" w:hAnsi="Arial" w:cs="Arial"/>
          <w:b/>
          <w:sz w:val="18"/>
          <w:szCs w:val="18"/>
        </w:rPr>
      </w:pPr>
    </w:p>
    <w:p w:rsidR="000616B2" w:rsidRPr="002B0F86" w:rsidRDefault="000616B2" w:rsidP="000616B2">
      <w:pPr>
        <w:jc w:val="both"/>
        <w:rPr>
          <w:rFonts w:ascii="Arial" w:hAnsi="Arial" w:cs="Arial"/>
          <w:b/>
          <w:sz w:val="18"/>
          <w:szCs w:val="18"/>
        </w:rPr>
      </w:pPr>
    </w:p>
    <w:p w:rsidR="000616B2" w:rsidRPr="002B0F86" w:rsidRDefault="000616B2" w:rsidP="000616B2">
      <w:pPr>
        <w:rPr>
          <w:rFonts w:ascii="Arial" w:hAnsi="Arial" w:cs="Arial"/>
          <w:b/>
          <w:sz w:val="18"/>
          <w:szCs w:val="18"/>
          <w:u w:val="single"/>
        </w:rPr>
      </w:pPr>
      <w:r w:rsidRPr="002B0F86">
        <w:rPr>
          <w:rFonts w:ascii="Arial" w:hAnsi="Arial" w:cs="Arial"/>
          <w:b/>
          <w:sz w:val="18"/>
          <w:szCs w:val="18"/>
          <w:u w:val="single"/>
        </w:rPr>
        <w:t>Lokacija in splošni podatki o izvajanju manjšega posega:</w:t>
      </w:r>
    </w:p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7"/>
      </w:tblGrid>
      <w:tr w:rsidR="000616B2" w:rsidRPr="002B0F86" w:rsidTr="004D0C25">
        <w:trPr>
          <w:trHeight w:val="909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0F86">
              <w:rPr>
                <w:rFonts w:ascii="Arial" w:hAnsi="Arial" w:cs="Arial"/>
                <w:i/>
                <w:sz w:val="18"/>
                <w:szCs w:val="18"/>
              </w:rPr>
              <w:t>Katastrska številka stavbe, parcelna številka in katastrska občina lokacije:</w:t>
            </w:r>
          </w:p>
        </w:tc>
        <w:tc>
          <w:tcPr>
            <w:tcW w:w="6269" w:type="dxa"/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60"/>
      </w:tblGrid>
      <w:tr w:rsidR="000616B2" w:rsidRPr="002B0F86" w:rsidTr="004D0C25"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0F86">
              <w:rPr>
                <w:rFonts w:ascii="Arial" w:hAnsi="Arial" w:cs="Arial"/>
                <w:i/>
                <w:sz w:val="18"/>
                <w:szCs w:val="18"/>
              </w:rPr>
              <w:t>Naziv oz. namen objekta, kjer se bo izvajal manjši poseg:</w:t>
            </w:r>
          </w:p>
        </w:tc>
        <w:tc>
          <w:tcPr>
            <w:tcW w:w="6269" w:type="dxa"/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55"/>
      </w:tblGrid>
      <w:tr w:rsidR="000616B2" w:rsidRPr="002B0F86" w:rsidTr="004D0C25">
        <w:trPr>
          <w:trHeight w:val="27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0F86">
              <w:rPr>
                <w:rFonts w:ascii="Arial" w:hAnsi="Arial" w:cs="Arial"/>
                <w:i/>
                <w:sz w:val="18"/>
                <w:szCs w:val="18"/>
              </w:rPr>
              <w:t xml:space="preserve">Splošni opis posega; </w:t>
            </w:r>
            <w:r w:rsidR="002B0F86" w:rsidRPr="002B0F86">
              <w:rPr>
                <w:rFonts w:ascii="Arial" w:hAnsi="Arial" w:cs="Arial"/>
                <w:i/>
                <w:sz w:val="18"/>
                <w:szCs w:val="18"/>
              </w:rPr>
              <w:t>(u</w:t>
            </w:r>
            <w:r w:rsidRPr="002B0F86">
              <w:rPr>
                <w:rFonts w:ascii="Arial" w:hAnsi="Arial" w:cs="Arial"/>
                <w:i/>
                <w:sz w:val="18"/>
                <w:szCs w:val="18"/>
              </w:rPr>
              <w:t xml:space="preserve">poštevajte merila Uredbe in 7. člena GZ-1; </w:t>
            </w:r>
          </w:p>
          <w:p w:rsidR="000616B2" w:rsidRPr="002B0F86" w:rsidRDefault="000616B2" w:rsidP="004D0C2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0F86">
              <w:rPr>
                <w:rFonts w:ascii="Arial" w:hAnsi="Arial" w:cs="Arial"/>
                <w:i/>
                <w:sz w:val="18"/>
                <w:szCs w:val="18"/>
              </w:rPr>
              <w:t>(izvleček dovoljenih posegov je v prilogi)</w:t>
            </w:r>
            <w:r w:rsidR="002B0F86" w:rsidRPr="002B0F8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269" w:type="dxa"/>
            <w:vAlign w:val="center"/>
          </w:tcPr>
          <w:p w:rsidR="000616B2" w:rsidRPr="002B0F86" w:rsidRDefault="000616B2" w:rsidP="004D0C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p w:rsidR="000616B2" w:rsidRPr="002B0F86" w:rsidRDefault="000616B2" w:rsidP="000616B2">
      <w:pPr>
        <w:rPr>
          <w:rFonts w:ascii="Arial" w:hAnsi="Arial" w:cs="Arial"/>
          <w:b/>
          <w:sz w:val="18"/>
          <w:szCs w:val="18"/>
          <w:u w:val="single"/>
        </w:rPr>
      </w:pPr>
      <w:r w:rsidRPr="002B0F86">
        <w:rPr>
          <w:rFonts w:ascii="Arial" w:hAnsi="Arial" w:cs="Arial"/>
          <w:b/>
          <w:sz w:val="18"/>
          <w:szCs w:val="18"/>
          <w:u w:val="single"/>
        </w:rPr>
        <w:t>Obvezne priloge:</w:t>
      </w:r>
    </w:p>
    <w:p w:rsidR="000616B2" w:rsidRPr="002B0F86" w:rsidRDefault="000616B2" w:rsidP="007C5FD0">
      <w:pPr>
        <w:pStyle w:val="Odstavekseznama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2B0F86">
        <w:rPr>
          <w:rFonts w:ascii="Arial" w:hAnsi="Arial" w:cs="Arial"/>
          <w:i/>
          <w:sz w:val="18"/>
          <w:szCs w:val="18"/>
        </w:rPr>
        <w:t>pooblastilo (če zahtevo ne vlaga investitor ali lastik)</w:t>
      </w:r>
    </w:p>
    <w:p w:rsidR="00EF3B71" w:rsidRPr="002B0F86" w:rsidRDefault="00925B01" w:rsidP="007C5FD0">
      <w:pPr>
        <w:pStyle w:val="Odstavekseznama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2B0F86">
        <w:rPr>
          <w:rFonts w:ascii="Arial" w:hAnsi="Arial" w:cs="Arial"/>
          <w:i/>
          <w:sz w:val="18"/>
          <w:szCs w:val="18"/>
        </w:rPr>
        <w:t>Dokumentacija - situacijski prikazi in prikazi tlorisov, prerezov ter pogledov fasad obstoječega in predvidenega stanja glede na vrsto del</w:t>
      </w:r>
    </w:p>
    <w:p w:rsidR="00925B01" w:rsidRPr="002B0F86" w:rsidRDefault="00925B01" w:rsidP="007C5FD0">
      <w:pPr>
        <w:pStyle w:val="Odstavekseznama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2B0F86">
        <w:rPr>
          <w:rFonts w:ascii="Arial" w:hAnsi="Arial" w:cs="Arial"/>
          <w:i/>
          <w:sz w:val="18"/>
          <w:szCs w:val="18"/>
        </w:rPr>
        <w:t>Tehnično poročilo z opisom skladnosti s prostorskim aktom</w:t>
      </w:r>
    </w:p>
    <w:p w:rsidR="00925B01" w:rsidRPr="002B0F86" w:rsidRDefault="00925B01" w:rsidP="007C5FD0">
      <w:pPr>
        <w:pStyle w:val="Odstavekseznama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2B0F86">
        <w:rPr>
          <w:rFonts w:ascii="Arial" w:hAnsi="Arial" w:cs="Arial"/>
          <w:i/>
          <w:sz w:val="18"/>
          <w:szCs w:val="18"/>
        </w:rPr>
        <w:t>Soglasja (v kolikor je poseg v območju varovanj ali varovalnih pasovih infrastrukture)</w:t>
      </w:r>
    </w:p>
    <w:p w:rsidR="000616B2" w:rsidRPr="002B0F86" w:rsidRDefault="000616B2" w:rsidP="007C5FD0">
      <w:pPr>
        <w:pStyle w:val="Odstavekseznama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2B0F86">
        <w:rPr>
          <w:rFonts w:ascii="Arial" w:hAnsi="Arial" w:cs="Arial"/>
          <w:i/>
          <w:sz w:val="18"/>
          <w:szCs w:val="18"/>
        </w:rPr>
        <w:t>pisno mnenje strokovnjaka s področja gradbeništva (če gre za manjšo rekonstrukcijo) ali</w:t>
      </w:r>
    </w:p>
    <w:p w:rsidR="000616B2" w:rsidRPr="002B0F86" w:rsidRDefault="000616B2" w:rsidP="007C5FD0">
      <w:pPr>
        <w:pStyle w:val="Odstavekseznama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2B0F86">
        <w:rPr>
          <w:rFonts w:ascii="Arial" w:hAnsi="Arial" w:cs="Arial"/>
          <w:i/>
          <w:sz w:val="18"/>
          <w:szCs w:val="18"/>
        </w:rPr>
        <w:t>pisno mnenje pooblaščenega arhitekta (če  gre za prizidavo zunanjega stopnišča ali dvigala)</w:t>
      </w:r>
    </w:p>
    <w:p w:rsidR="000616B2" w:rsidRPr="002B0F86" w:rsidRDefault="000616B2" w:rsidP="000616B2">
      <w:pPr>
        <w:rPr>
          <w:rFonts w:ascii="Arial" w:hAnsi="Arial" w:cs="Arial"/>
          <w:i/>
          <w:sz w:val="18"/>
          <w:szCs w:val="18"/>
        </w:rPr>
      </w:pPr>
    </w:p>
    <w:p w:rsidR="000616B2" w:rsidRDefault="000616B2" w:rsidP="000616B2">
      <w:pPr>
        <w:rPr>
          <w:rFonts w:ascii="Arial" w:hAnsi="Arial" w:cs="Arial"/>
          <w:sz w:val="18"/>
          <w:szCs w:val="18"/>
        </w:rPr>
      </w:pPr>
    </w:p>
    <w:p w:rsidR="002B0F86" w:rsidRPr="002B0F86" w:rsidRDefault="002B0F86" w:rsidP="000616B2">
      <w:pPr>
        <w:rPr>
          <w:rFonts w:ascii="Arial" w:hAnsi="Arial" w:cs="Arial"/>
          <w:sz w:val="18"/>
          <w:szCs w:val="18"/>
        </w:rPr>
      </w:pPr>
    </w:p>
    <w:p w:rsidR="000616B2" w:rsidRPr="002B0F86" w:rsidRDefault="000616B2" w:rsidP="000616B2">
      <w:pPr>
        <w:rPr>
          <w:rFonts w:ascii="Arial" w:hAnsi="Arial" w:cs="Arial"/>
          <w:i/>
          <w:sz w:val="18"/>
          <w:szCs w:val="18"/>
        </w:rPr>
      </w:pPr>
      <w:r w:rsidRPr="002B0F86">
        <w:rPr>
          <w:rFonts w:ascii="Arial" w:hAnsi="Arial" w:cs="Arial"/>
          <w:i/>
          <w:sz w:val="18"/>
          <w:szCs w:val="18"/>
        </w:rPr>
        <w:t>Datum vloge: ………...….…….</w:t>
      </w:r>
      <w:r w:rsidRPr="002B0F86">
        <w:rPr>
          <w:rFonts w:ascii="Arial" w:hAnsi="Arial" w:cs="Arial"/>
          <w:i/>
          <w:sz w:val="18"/>
          <w:szCs w:val="18"/>
        </w:rPr>
        <w:tab/>
        <w:t xml:space="preserve">         </w:t>
      </w:r>
      <w:r w:rsidRPr="002B0F86">
        <w:rPr>
          <w:rFonts w:ascii="Arial" w:hAnsi="Arial" w:cs="Arial"/>
          <w:i/>
          <w:sz w:val="18"/>
          <w:szCs w:val="18"/>
        </w:rPr>
        <w:tab/>
        <w:t>…………..…………………..</w:t>
      </w:r>
    </w:p>
    <w:p w:rsidR="000616B2" w:rsidRPr="002B0F86" w:rsidRDefault="000616B2" w:rsidP="000616B2">
      <w:pPr>
        <w:rPr>
          <w:rFonts w:ascii="Arial" w:hAnsi="Arial" w:cs="Arial"/>
          <w:i/>
          <w:sz w:val="18"/>
          <w:szCs w:val="18"/>
        </w:rPr>
      </w:pPr>
      <w:r w:rsidRPr="002B0F8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</w:t>
      </w:r>
      <w:r w:rsidRPr="002B0F86">
        <w:rPr>
          <w:rFonts w:ascii="Arial" w:hAnsi="Arial" w:cs="Arial"/>
          <w:i/>
          <w:sz w:val="18"/>
          <w:szCs w:val="18"/>
        </w:rPr>
        <w:tab/>
        <w:t>(podpis vlagatelja)</w:t>
      </w:r>
    </w:p>
    <w:p w:rsidR="000616B2" w:rsidRDefault="000616B2" w:rsidP="000616B2">
      <w:pPr>
        <w:rPr>
          <w:rFonts w:ascii="Arial" w:hAnsi="Arial" w:cs="Arial"/>
          <w:sz w:val="18"/>
          <w:szCs w:val="18"/>
        </w:rPr>
      </w:pPr>
    </w:p>
    <w:p w:rsidR="002B0F86" w:rsidRPr="002B0F86" w:rsidRDefault="002B0F86" w:rsidP="000616B2">
      <w:pPr>
        <w:rPr>
          <w:rFonts w:ascii="Arial" w:hAnsi="Arial" w:cs="Arial"/>
          <w:sz w:val="18"/>
          <w:szCs w:val="18"/>
        </w:rPr>
      </w:pPr>
    </w:p>
    <w:p w:rsidR="002B0F86" w:rsidRPr="002B0F86" w:rsidRDefault="002B0F86" w:rsidP="002B0F86">
      <w:pPr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 xml:space="preserve">Na podlagi Zakona o upravnih taksah (Uradni list RS, št. 106/10 – uradno prečiščeno besedilo, 14/15 – ZUUJFO, 84/15 – ZZelP-J, 32/16 in 30/18 – </w:t>
      </w:r>
      <w:proofErr w:type="spellStart"/>
      <w:r w:rsidRPr="002B0F86">
        <w:rPr>
          <w:rFonts w:ascii="Arial" w:hAnsi="Arial" w:cs="Arial"/>
          <w:sz w:val="18"/>
          <w:szCs w:val="18"/>
        </w:rPr>
        <w:t>ZKZaš</w:t>
      </w:r>
      <w:proofErr w:type="spellEnd"/>
      <w:r w:rsidRPr="002B0F86">
        <w:rPr>
          <w:rFonts w:ascii="Arial" w:hAnsi="Arial" w:cs="Arial"/>
          <w:sz w:val="18"/>
          <w:szCs w:val="18"/>
        </w:rPr>
        <w:t xml:space="preserve">) se za pridobitev soglasja </w:t>
      </w:r>
      <w:r w:rsidRPr="002B0F86">
        <w:rPr>
          <w:rFonts w:ascii="Arial" w:hAnsi="Arial" w:cs="Arial"/>
          <w:b/>
          <w:sz w:val="18"/>
          <w:szCs w:val="18"/>
        </w:rPr>
        <w:t xml:space="preserve">zaračuna taksa v višini 22,60 EUR </w:t>
      </w:r>
      <w:r w:rsidRPr="002B0F86">
        <w:rPr>
          <w:rFonts w:ascii="Arial" w:hAnsi="Arial" w:cs="Arial"/>
          <w:sz w:val="18"/>
          <w:szCs w:val="18"/>
        </w:rPr>
        <w:t>(4,50 EUR za vlogo po tar. št. 1 in 18,10 EUR za soglasje po tar. št. 3).</w:t>
      </w:r>
    </w:p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p w:rsidR="000616B2" w:rsidRDefault="000616B2" w:rsidP="002B0F86">
      <w:pPr>
        <w:rPr>
          <w:rFonts w:ascii="Arial" w:hAnsi="Arial" w:cs="Arial"/>
          <w:sz w:val="18"/>
          <w:szCs w:val="18"/>
        </w:rPr>
      </w:pPr>
    </w:p>
    <w:p w:rsidR="002B0F86" w:rsidRDefault="002B0F86" w:rsidP="002B0F86">
      <w:pPr>
        <w:rPr>
          <w:rFonts w:ascii="Arial" w:hAnsi="Arial" w:cs="Arial"/>
          <w:sz w:val="18"/>
          <w:szCs w:val="18"/>
        </w:rPr>
      </w:pPr>
    </w:p>
    <w:p w:rsidR="002B0F86" w:rsidRDefault="002B0F86" w:rsidP="002B0F86">
      <w:pPr>
        <w:rPr>
          <w:rFonts w:ascii="Arial" w:hAnsi="Arial" w:cs="Arial"/>
          <w:sz w:val="18"/>
          <w:szCs w:val="18"/>
        </w:rPr>
      </w:pPr>
    </w:p>
    <w:p w:rsidR="002B0F86" w:rsidRDefault="002B0F86" w:rsidP="002B0F86">
      <w:pPr>
        <w:rPr>
          <w:rFonts w:ascii="Arial" w:hAnsi="Arial" w:cs="Arial"/>
          <w:sz w:val="18"/>
          <w:szCs w:val="18"/>
        </w:rPr>
      </w:pPr>
    </w:p>
    <w:p w:rsidR="000616B2" w:rsidRPr="002B0F86" w:rsidRDefault="000616B2" w:rsidP="000616B2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B0F86">
        <w:rPr>
          <w:rFonts w:ascii="Arial" w:hAnsi="Arial" w:cs="Arial"/>
          <w:b/>
          <w:i/>
          <w:sz w:val="18"/>
          <w:szCs w:val="18"/>
          <w:u w:val="single"/>
        </w:rPr>
        <w:lastRenderedPageBreak/>
        <w:t>Izvleček pogojev za manjše rekonstrukcije iz Uredbe o razvrščanju objektov (Uradni list RS, št. 96/22):</w:t>
      </w:r>
    </w:p>
    <w:p w:rsidR="000616B2" w:rsidRPr="002B0F86" w:rsidRDefault="000616B2" w:rsidP="000616B2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616B2" w:rsidRPr="002B0F86" w:rsidRDefault="000616B2" w:rsidP="000616B2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B0F86">
        <w:rPr>
          <w:rFonts w:ascii="Arial" w:hAnsi="Arial" w:cs="Arial"/>
          <w:b/>
          <w:bCs/>
          <w:i/>
          <w:sz w:val="18"/>
          <w:szCs w:val="18"/>
        </w:rPr>
        <w:t>12. člen</w:t>
      </w:r>
    </w:p>
    <w:p w:rsidR="000616B2" w:rsidRPr="002B0F86" w:rsidRDefault="000616B2" w:rsidP="000616B2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B0F86">
        <w:rPr>
          <w:rFonts w:ascii="Arial" w:hAnsi="Arial" w:cs="Arial"/>
          <w:b/>
          <w:bCs/>
          <w:i/>
          <w:sz w:val="18"/>
          <w:szCs w:val="18"/>
        </w:rPr>
        <w:t>(manjša rekonstrukcija)</w:t>
      </w:r>
    </w:p>
    <w:p w:rsidR="000616B2" w:rsidRPr="002B0F86" w:rsidRDefault="000616B2" w:rsidP="000616B2">
      <w:pPr>
        <w:pStyle w:val="Brezrazmikov"/>
        <w:rPr>
          <w:rFonts w:ascii="Arial" w:hAnsi="Arial" w:cs="Arial"/>
          <w:sz w:val="18"/>
          <w:szCs w:val="18"/>
        </w:rPr>
      </w:pPr>
    </w:p>
    <w:p w:rsidR="000616B2" w:rsidRPr="002B0F86" w:rsidRDefault="000616B2" w:rsidP="000616B2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B0F86">
        <w:rPr>
          <w:rFonts w:ascii="Arial" w:hAnsi="Arial" w:cs="Arial"/>
          <w:color w:val="000000"/>
          <w:sz w:val="18"/>
          <w:szCs w:val="18"/>
        </w:rPr>
        <w:t>Manjša rekonstrukcija so dela, ki ne smejo ogrožati ali poslabšati gradbenotehničnih lastnosti objekta in so navedena v Prilogi 2, ki je sestavni del te uredbe.</w:t>
      </w:r>
    </w:p>
    <w:p w:rsidR="000616B2" w:rsidRPr="002B0F86" w:rsidRDefault="000616B2" w:rsidP="000616B2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B0F86">
        <w:rPr>
          <w:rFonts w:ascii="Arial" w:hAnsi="Arial" w:cs="Arial"/>
          <w:color w:val="000000"/>
          <w:sz w:val="18"/>
          <w:szCs w:val="18"/>
        </w:rPr>
        <w:t>Manjša rekonstrukcija na ovoju objekta se izvaja tako, da se s posegi bistveno ne odstopa od prvotne zasnove objekta</w:t>
      </w:r>
    </w:p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p w:rsidR="000616B2" w:rsidRPr="002B0F86" w:rsidRDefault="000616B2" w:rsidP="000616B2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B0F86">
        <w:rPr>
          <w:rFonts w:ascii="Arial" w:hAnsi="Arial" w:cs="Arial"/>
          <w:b/>
          <w:i/>
          <w:sz w:val="18"/>
          <w:szCs w:val="18"/>
          <w:u w:val="single"/>
        </w:rPr>
        <w:t>Izvleček pogojev za manjše rekonstrukcije iz Gradbenega zakona; GZ-1 (Uradni list RS, št. 199/21):</w:t>
      </w:r>
    </w:p>
    <w:p w:rsidR="000616B2" w:rsidRPr="002B0F86" w:rsidRDefault="000616B2" w:rsidP="000616B2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616B2" w:rsidRPr="002B0F86" w:rsidRDefault="000616B2" w:rsidP="000616B2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B0F86">
        <w:rPr>
          <w:rFonts w:ascii="Arial" w:hAnsi="Arial" w:cs="Arial"/>
          <w:b/>
          <w:bCs/>
          <w:i/>
          <w:sz w:val="18"/>
          <w:szCs w:val="18"/>
        </w:rPr>
        <w:t>7. člen</w:t>
      </w:r>
    </w:p>
    <w:p w:rsidR="000616B2" w:rsidRPr="002B0F86" w:rsidRDefault="000616B2" w:rsidP="000616B2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B0F86">
        <w:rPr>
          <w:rFonts w:ascii="Arial" w:hAnsi="Arial" w:cs="Arial"/>
          <w:b/>
          <w:bCs/>
          <w:i/>
          <w:sz w:val="18"/>
          <w:szCs w:val="18"/>
        </w:rPr>
        <w:t>(pogoji za izvedbo manjše rekonstrukcije)</w:t>
      </w:r>
    </w:p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p w:rsidR="000616B2" w:rsidRPr="002B0F86" w:rsidRDefault="000616B2" w:rsidP="000616B2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 xml:space="preserve">Manjša rekonstrukcija se izvaja na podlagi pisnega mnenja pooblaščenega strokovnjaka s področja </w:t>
      </w:r>
    </w:p>
    <w:p w:rsidR="000616B2" w:rsidRPr="002B0F86" w:rsidRDefault="000616B2" w:rsidP="000616B2">
      <w:pPr>
        <w:pStyle w:val="Brezrazmikov"/>
        <w:ind w:left="720"/>
        <w:jc w:val="both"/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>gradbeništva, prizidavo zunanjega stopnišča ali dvigala pa tudi na podlagi pisnega mnenja pooblaščenega arhitekta, s katerim se predvidi rešitev, ki gradbenotehnične lastnosti objekta izboljša ali vsaj ne poslabšuje. Pooblaščeni strokovnjak s področja gradbeništva po izvedeni manjši rekonstrukciji ustreznost izvedenih del pisno potrdi.</w:t>
      </w:r>
    </w:p>
    <w:p w:rsidR="000616B2" w:rsidRPr="002B0F86" w:rsidRDefault="000616B2" w:rsidP="000616B2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>Za manjše rekonstrukcije, ki pomenijo manjše povečanje prostornine ali prizidave zunanjega stopnišča ali dvigala, je treba poleg mnenja in potrdila iz prejšnjega odstavka pridobiti tudi soglasje občine glede skladnosti s prostorskim aktom.</w:t>
      </w:r>
    </w:p>
    <w:p w:rsidR="000616B2" w:rsidRPr="002B0F86" w:rsidRDefault="000616B2" w:rsidP="000616B2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B0F86">
        <w:rPr>
          <w:rFonts w:ascii="Arial" w:hAnsi="Arial" w:cs="Arial"/>
          <w:sz w:val="18"/>
          <w:szCs w:val="18"/>
        </w:rPr>
        <w:t>Podrobnejšo vsebino in obliko mnenja in potrdila iz prvega odstavka tega člena predpiše minister.</w:t>
      </w:r>
    </w:p>
    <w:p w:rsidR="000616B2" w:rsidRPr="002B0F86" w:rsidRDefault="000616B2" w:rsidP="000616B2">
      <w:pPr>
        <w:rPr>
          <w:rFonts w:ascii="Arial" w:hAnsi="Arial" w:cs="Arial"/>
          <w:sz w:val="18"/>
          <w:szCs w:val="18"/>
        </w:rPr>
      </w:pPr>
    </w:p>
    <w:p w:rsidR="000616B2" w:rsidRPr="002B0F86" w:rsidRDefault="000616B2" w:rsidP="000616B2">
      <w:p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B0F86">
        <w:rPr>
          <w:rFonts w:ascii="Arial" w:eastAsia="Arial" w:hAnsi="Arial" w:cs="Arial"/>
          <w:b/>
          <w:i/>
          <w:sz w:val="18"/>
          <w:szCs w:val="18"/>
          <w:u w:val="single"/>
        </w:rPr>
        <w:t>Izvleček priloge 2 iz Uredbe o razvrščanju objektov za manjše rekonstrukcije:</w:t>
      </w:r>
    </w:p>
    <w:p w:rsidR="000616B2" w:rsidRPr="002B0F86" w:rsidRDefault="000616B2" w:rsidP="000616B2">
      <w:pPr>
        <w:ind w:left="524"/>
        <w:rPr>
          <w:rFonts w:ascii="Arial" w:hAnsi="Arial" w:cs="Arial"/>
          <w:sz w:val="18"/>
          <w:szCs w:val="18"/>
        </w:rPr>
      </w:pPr>
    </w:p>
    <w:tbl>
      <w:tblPr>
        <w:tblW w:w="8487" w:type="dxa"/>
        <w:tblInd w:w="530" w:type="dxa"/>
        <w:tblCellMar>
          <w:top w:w="68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03"/>
        <w:gridCol w:w="6224"/>
        <w:gridCol w:w="1760"/>
      </w:tblGrid>
      <w:tr w:rsidR="000616B2" w:rsidRPr="002B0F86" w:rsidTr="004D0C25">
        <w:trPr>
          <w:trHeight w:val="26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b/>
                <w:sz w:val="18"/>
                <w:szCs w:val="18"/>
              </w:rPr>
              <w:t xml:space="preserve">Tč.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6B2" w:rsidRPr="002B0F86" w:rsidRDefault="000616B2" w:rsidP="004D0C25">
            <w:pPr>
              <w:ind w:left="1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b/>
                <w:sz w:val="18"/>
                <w:szCs w:val="18"/>
              </w:rPr>
              <w:t xml:space="preserve">Vrsta del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6B2" w:rsidRPr="002B0F86" w:rsidRDefault="000616B2" w:rsidP="004D0C25">
            <w:pPr>
              <w:ind w:left="1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b/>
                <w:sz w:val="18"/>
                <w:szCs w:val="18"/>
              </w:rPr>
              <w:t xml:space="preserve">Mnenje/soglasje </w:t>
            </w:r>
          </w:p>
        </w:tc>
      </w:tr>
      <w:tr w:rsidR="000616B2" w:rsidRPr="002B0F86" w:rsidTr="004D0C25"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Statične ojačitve posameznega ali več posameznih konstrukcijskih elementov.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Pooblaščeni strokovnjak s področja gradbeništva </w:t>
            </w:r>
          </w:p>
        </w:tc>
      </w:tr>
      <w:tr w:rsidR="000616B2" w:rsidRPr="002B0F86" w:rsidTr="004D0C25">
        <w:trPr>
          <w:trHeight w:val="47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Zamenjava istovrstnih posameznih konstrukcijskih elementov, v katero spada na primer zamenjava ostrešja ali delov medetažne konstrukcije.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26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Zamenjava elementov javnega vodovoda in javne kanalizacije.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27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Dolbenje utorov in niš v nosilno konstrukcijo.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64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Izvedba odprtin in večjih konstrukcijskih prebojev ter povečanje obstoječih odprtin v objektu, ki ne presegajo ene tretjine površine posameznega konstrukcijskega elementa in niso širši od 2 m.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4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Povečanje obstoječih prebojev fasade stavbe do 2 m, pri čemer velikost povečanja odprtine ne sme presegati ene tretjine površine fasade.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77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Novi preboji fasade stavbe, če je ravnina fasade, na kateri se izvajajo preboji, od meje zemljišča drugega lastnika oddaljena več kot 2 m, pri čemer velikost novih prebojev ne presega ene tretjine površine fasade in noben preboj ni širši od 2 m.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43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 w:righ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Vgradnja dvigala v notranjosti objekta, s katerim se posega v nosilno konstrukcijo.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1053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2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 w:right="36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Manjše povečanje prostornine, ki ne poveča bruto tlorisne površine objekta, ter pomeni izvedbo posameznih konstrukcijskih elementov na objektu (npr. izvedba frčade, vsaj z dveh strani odprt nadstrešek na obstoječi pohodni strehi, dvig obodnega zidu pod poševno streho za višino horizontalne vezi za največ 0,3 m). </w:t>
            </w:r>
          </w:p>
        </w:tc>
        <w:tc>
          <w:tcPr>
            <w:tcW w:w="176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Pooblaščeni strokovnjak s področja gradbeništva </w:t>
            </w:r>
            <w:r w:rsidRPr="002B0F8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in soglasje občine</w:t>
            </w: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616B2" w:rsidRPr="002B0F86" w:rsidTr="004D0C25">
        <w:trPr>
          <w:trHeight w:val="271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Prizidava nakladalnih ramp in klančin.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269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Izvedba </w:t>
            </w:r>
            <w:proofErr w:type="spellStart"/>
            <w:r w:rsidRPr="002B0F86">
              <w:rPr>
                <w:rFonts w:ascii="Arial" w:eastAsia="Arial" w:hAnsi="Arial" w:cs="Arial"/>
                <w:sz w:val="18"/>
                <w:szCs w:val="18"/>
              </w:rPr>
              <w:t>nepohodnega</w:t>
            </w:r>
            <w:proofErr w:type="spellEnd"/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 konzolnega nadstreška površine do 6 m</w:t>
            </w:r>
            <w:r w:rsidRPr="002B0F86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6B2" w:rsidRPr="002B0F86" w:rsidTr="004D0C25">
        <w:trPr>
          <w:trHeight w:val="1490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B2" w:rsidRPr="002B0F86" w:rsidRDefault="000616B2" w:rsidP="004D0C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jc w:val="both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Prizidava zunanjega odprtega stopnišča ali dvigala, ki ne povezuje več kot treh etaž in je zunanji rob stopnišča ali dvigala oddaljen od sosednjega objekta drugega lastnika več kot 4 m.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616B2" w:rsidRPr="002B0F86" w:rsidRDefault="000616B2" w:rsidP="004D0C25">
            <w:pPr>
              <w:ind w:left="1"/>
              <w:rPr>
                <w:rFonts w:ascii="Calibri" w:hAnsi="Calibri"/>
                <w:sz w:val="18"/>
                <w:szCs w:val="18"/>
              </w:rPr>
            </w:pP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Pooblaščena strokovnjaka s področja gradbeništva in področja arhitekture </w:t>
            </w:r>
            <w:r w:rsidRPr="002B0F8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ter soglasje občine</w:t>
            </w:r>
            <w:r w:rsidRPr="002B0F8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616B2" w:rsidRPr="002B0F86" w:rsidRDefault="000616B2" w:rsidP="000616B2">
      <w:pPr>
        <w:jc w:val="center"/>
        <w:rPr>
          <w:rFonts w:ascii="Arial" w:hAnsi="Arial" w:cs="Arial"/>
          <w:sz w:val="18"/>
          <w:szCs w:val="18"/>
        </w:rPr>
      </w:pPr>
    </w:p>
    <w:p w:rsidR="000C430F" w:rsidRPr="002B0F86" w:rsidRDefault="000C430F">
      <w:pPr>
        <w:rPr>
          <w:sz w:val="18"/>
          <w:szCs w:val="18"/>
        </w:rPr>
      </w:pPr>
    </w:p>
    <w:sectPr w:rsidR="000C430F" w:rsidRPr="002B0F86" w:rsidSect="002B0F86">
      <w:headerReference w:type="default" r:id="rId8"/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22" w:rsidRDefault="008B0F22" w:rsidP="007C5FD0">
      <w:r>
        <w:separator/>
      </w:r>
    </w:p>
  </w:endnote>
  <w:endnote w:type="continuationSeparator" w:id="0">
    <w:p w:rsidR="008B0F22" w:rsidRDefault="008B0F22" w:rsidP="007C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D0" w:rsidRPr="007C5FD0" w:rsidRDefault="007C5FD0" w:rsidP="007C5FD0">
    <w:pPr>
      <w:tabs>
        <w:tab w:val="center" w:pos="4536"/>
        <w:tab w:val="right" w:pos="9072"/>
      </w:tabs>
      <w:jc w:val="center"/>
      <w:rPr>
        <w:rFonts w:ascii="Arial" w:hAnsi="Arial"/>
        <w:sz w:val="16"/>
        <w:szCs w:val="16"/>
      </w:rPr>
    </w:pPr>
    <w:r w:rsidRPr="007C5FD0">
      <w:rPr>
        <w:rFonts w:ascii="Arial" w:hAnsi="Arial"/>
        <w:sz w:val="16"/>
        <w:szCs w:val="16"/>
      </w:rPr>
      <w:t>Občina Tržič · Urad za okolje in prostor, Trg svobode 18, 4290 Tržič · tel.: 04 597 15 29 ali 597 15 57</w:t>
    </w:r>
  </w:p>
  <w:p w:rsidR="007C5FD0" w:rsidRPr="007C5FD0" w:rsidRDefault="007C5FD0" w:rsidP="007C5FD0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7C5FD0">
      <w:rPr>
        <w:rFonts w:ascii="Arial" w:hAnsi="Arial"/>
        <w:sz w:val="16"/>
        <w:szCs w:val="16"/>
        <w:lang w:val="de-DE"/>
      </w:rPr>
      <w:t>e-</w:t>
    </w:r>
    <w:proofErr w:type="spellStart"/>
    <w:r w:rsidRPr="007C5FD0">
      <w:rPr>
        <w:rFonts w:ascii="Arial" w:hAnsi="Arial"/>
        <w:sz w:val="16"/>
        <w:szCs w:val="16"/>
        <w:lang w:val="de-DE"/>
      </w:rPr>
      <w:t>pošta</w:t>
    </w:r>
    <w:proofErr w:type="spellEnd"/>
    <w:r w:rsidRPr="007C5FD0">
      <w:rPr>
        <w:rFonts w:ascii="Arial" w:hAnsi="Arial"/>
        <w:sz w:val="16"/>
        <w:szCs w:val="16"/>
        <w:lang w:val="de-DE"/>
      </w:rPr>
      <w:t xml:space="preserve">: obcina@trzic.si · </w:t>
    </w:r>
    <w:proofErr w:type="spellStart"/>
    <w:r w:rsidRPr="007C5FD0">
      <w:rPr>
        <w:rFonts w:ascii="Arial" w:hAnsi="Arial"/>
        <w:sz w:val="16"/>
        <w:szCs w:val="16"/>
        <w:lang w:val="de-DE"/>
      </w:rPr>
      <w:t>internet</w:t>
    </w:r>
    <w:proofErr w:type="spellEnd"/>
    <w:r w:rsidRPr="007C5FD0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7C5FD0">
        <w:rPr>
          <w:rFonts w:ascii="Arial" w:hAnsi="Arial"/>
          <w:color w:val="0000FF"/>
          <w:sz w:val="16"/>
          <w:szCs w:val="16"/>
          <w:u w:val="single"/>
          <w:lang w:val="de-DE"/>
        </w:rPr>
        <w:t>www.trzic.si</w:t>
      </w:r>
    </w:hyperlink>
  </w:p>
  <w:p w:rsidR="007C5FD0" w:rsidRDefault="007C5F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22" w:rsidRDefault="008B0F22" w:rsidP="007C5FD0">
      <w:r>
        <w:separator/>
      </w:r>
    </w:p>
  </w:footnote>
  <w:footnote w:type="continuationSeparator" w:id="0">
    <w:p w:rsidR="008B0F22" w:rsidRDefault="008B0F22" w:rsidP="007C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D0" w:rsidRDefault="002B0F86" w:rsidP="002B0F86">
    <w:pPr>
      <w:pStyle w:val="Glava"/>
      <w:tabs>
        <w:tab w:val="left" w:pos="6525"/>
      </w:tabs>
    </w:pPr>
    <w:r>
      <w:tab/>
    </w:r>
    <w:r w:rsidR="007C5FD0" w:rsidRPr="009F610C">
      <w:rPr>
        <w:noProof/>
      </w:rPr>
      <w:drawing>
        <wp:inline distT="0" distB="0" distL="0" distR="0" wp14:anchorId="0D20570B" wp14:editId="2CB7FA65">
          <wp:extent cx="581025" cy="1007182"/>
          <wp:effectExtent l="0" t="0" r="0" b="254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86" cy="1009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610"/>
    <w:multiLevelType w:val="hybridMultilevel"/>
    <w:tmpl w:val="C08A24AC"/>
    <w:lvl w:ilvl="0" w:tplc="E17AC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934"/>
    <w:multiLevelType w:val="hybridMultilevel"/>
    <w:tmpl w:val="5930EAE8"/>
    <w:lvl w:ilvl="0" w:tplc="A2F89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53558"/>
    <w:multiLevelType w:val="hybridMultilevel"/>
    <w:tmpl w:val="F2E615C4"/>
    <w:lvl w:ilvl="0" w:tplc="6FC68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D0D"/>
    <w:multiLevelType w:val="hybridMultilevel"/>
    <w:tmpl w:val="06A2B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B2"/>
    <w:rsid w:val="000616B2"/>
    <w:rsid w:val="000C430F"/>
    <w:rsid w:val="002B0F86"/>
    <w:rsid w:val="007A63B2"/>
    <w:rsid w:val="007C5FD0"/>
    <w:rsid w:val="008B0F22"/>
    <w:rsid w:val="00925B01"/>
    <w:rsid w:val="00B564A0"/>
    <w:rsid w:val="00ED7C86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2237"/>
  <w15:chartTrackingRefBased/>
  <w15:docId w15:val="{B993884D-9412-41FE-9025-542889A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616B2"/>
    <w:pPr>
      <w:keepNext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616B2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rsid w:val="000616B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616B2"/>
    <w:pPr>
      <w:ind w:left="708"/>
    </w:pPr>
  </w:style>
  <w:style w:type="paragraph" w:styleId="Brezrazmikov">
    <w:name w:val="No Spacing"/>
    <w:uiPriority w:val="1"/>
    <w:qFormat/>
    <w:rsid w:val="0006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C5F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5FD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C5F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5FD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DC3D7-F62E-411F-BD64-4448C2FB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ŠVAJGER</dc:creator>
  <cp:keywords/>
  <dc:description/>
  <cp:lastModifiedBy>Dominik GRUŠKOVNJAK</cp:lastModifiedBy>
  <cp:revision>5</cp:revision>
  <dcterms:created xsi:type="dcterms:W3CDTF">2022-09-02T09:51:00Z</dcterms:created>
  <dcterms:modified xsi:type="dcterms:W3CDTF">2022-09-05T07:28:00Z</dcterms:modified>
</cp:coreProperties>
</file>